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AVWaffBeschR (Bayern)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48 Abs. 1, § 55 Abs. 6 des Waffengesetzes (WaffG) vom 11. Oktober 2002 (BGBl I S. 3970, ber. S. 4592, 2003 I S. 1957), zuletzt geändert durch Art. 3 Abs. 5 des Gesetzes vom 17. Juli 2009 (BGBl I S. 2062), und § 1 Abs. 6 Satz 1, § 20 Abs. 1 des Gesetzes über die Prüfung und Zulassung von Feuerwaffen, Böllern, Geräten, bei denen zum Antrieb Munition verwendet wird, sowie von Munition und sonstigen Waffen (Beschussgesetz – BeschG) vom 11. Oktober 2002 (BGBl I S. 3970, 4003), zuletzt geändert durch Art. 3 Abs. 7 des Gesetzes vom 17. Juli 2009 (BGBl I S. 2062),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