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AVWaffBeschR (Bayern) — Befreiungen</w:t>
      </w:r>
    </w:p>
    <w:p>
      <w:r>
        <w:rPr>
          <w:color w:val="555555"/>
          <w:sz w:val="18"/>
        </w:rPr>
        <w:t xml:space="preserve">Verordnung zur Ausführung des Waffen- und Beschussrechts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Waffengesetz und die darauf beruhenden Verordnungen sind nicht anzuwenden, wenn</w:t>
      </w:r>
    </w:p>
    <w:p>
      <w:r>
        <w:t xml:space="preserve">1. staatliche Behörden und Dienststellen,</w:t>
      </w:r>
    </w:p>
    <w:p>
      <w:r>
        <w:t xml:space="preserve">2. kreisfreie Gemeinden,</w:t>
      </w:r>
    </w:p>
    <w:p>
      <w:r>
        <w:t xml:space="preserve">3. die Industrie- und Handelskammer für München und Oberbayern und die Industrie- und Handelskammer Nürnberg für Mittelfranken sowie</w:t>
      </w:r>
    </w:p>
    <w:p>
      <w:r>
        <w:t xml:space="preserve">4. Gerichte</w:t>
      </w:r>
    </w:p>
    <w:p>
      <w:r>
        <w:t xml:space="preserve">zur Erfüllung ihrer Aufgaben oder wenn Bedienstete dieser Stellen dienstlich tätig werden.</w:t>
      </w:r>
    </w:p>
    <w:p>
      <w:r>
        <w:rPr>
          <w:color w:val="555555"/>
          <w:sz w:val="17"/>
        </w:rPr>
        <w:t xml:space="preserve">Zitiervorschlag: § 5 AVWaffBeschR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https://recht.nulegal.eu/gesetze/AVWaffBeschR/5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