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AVWaffBeschR (Bayern) — Überwachungsbehörden</w:t>
      </w:r>
    </w:p>
    <w:p>
      <w:r>
        <w:rPr>
          <w:color w:val="555555"/>
          <w:sz w:val="18"/>
        </w:rPr>
        <w:t xml:space="preserve">Verordnung zur Ausführung des Waffen- und Beschussrechts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Zuständige Behörden für die Mitwirkung bei der Überwachung des Verbringens oder der Mitnahme von Waffen und Munition in die Bundesrepublik Deutschland gemäß § 33 Abs. 3 WaffG sind die mit der Kontrolle des grenzüberschreitenden Verkehrs beauftragten Behörden.</w:t>
      </w:r>
    </w:p>
    <w:p>
      <w:r>
        <w:t xml:space="preserve">(2) Für die Kontrollen aufgrund des § 42c WaffG ist die Polizei im Sinne des Art. 1 des Polizeiaufgabengesetzes zuständig, soweit nicht Bundesbehörden zuständig sind.</w:t>
      </w:r>
    </w:p>
    <w:p>
      <w:r>
        <w:rPr>
          <w:color w:val="555555"/>
          <w:sz w:val="17"/>
        </w:rPr>
        <w:t xml:space="preserve">Zitiervorschlag: § 4 AVWaffBeschR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https://recht.nulegal.eu/gesetze/AVWaffBeschR/4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