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AVWaffBeschR (Bayern) — Bescheinigungen, Ausnahmegenehmigungen und Erlaubnisse</w:t>
      </w:r>
    </w:p>
    <w:p>
      <w:r>
        <w:rPr>
          <w:color w:val="555555"/>
          <w:sz w:val="18"/>
        </w:rPr>
        <w:t xml:space="preserve">Verordnung zur Ausführung des Waffen- und Beschussrechts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</w:t>
      </w:r>
    </w:p>
    <w:p>
      <w:r>
        <w:t xml:space="preserve">1. die Ausstellung von Bescheinigungen über die Berechtigung zum Erwerb und Besitz von Schusswaffen und Munition sowie zum Führen von Schusswaffen nach § 55 Abs. 2 WaffG,</w:t>
      </w:r>
    </w:p>
    <w:p>
      <w:r>
        <w:t xml:space="preserve">2. die Erteilung einer Ausnahmegenehmigung vom Verbot des Führens von Waffen bei öffentlichen Veranstaltungen nach § 42 Abs. 2 WaffG und</w:t>
      </w:r>
    </w:p>
    <w:p>
      <w:r>
        <w:t xml:space="preserve">3. die Entgegennahme von Verlustanzeigen nach § 37 Abs. 2 WaffG</w:t>
      </w:r>
    </w:p>
    <w:p>
      <w:r>
        <w:t xml:space="preserve">für Personen bzw. von Personen, die wegen der von ihnen wahrzunehmenden hoheitlichen Aufgaben erheblich gefährdet sind, ist das Landeskriminalamt zuständig. Die Staatskanzlei und die Staatsministerien können die Zuständigkeit nach Satz 1 für ihren Bereich durch Verordnung auf sich oder eine andere Stelle ihres Geschäftsbereichs übertragen. Für Mitglieder und Bedienstete des Bayerischen Landtags ist in den Fällen des Satzes 1 das Staatsministerium des Innern, für Sport und Integration zuständig.</w:t>
      </w:r>
    </w:p>
    <w:p>
      <w:r>
        <w:t xml:space="preserve">(2) Für die Ausstellung von Bescheinigungen nach § 56 WaffG und die Zulassung von Ausnahmen nach § 42 Abs. 2 WaffG für</w:t>
      </w:r>
    </w:p>
    <w:p>
      <w:r>
        <w:t xml:space="preserve">1. Staatsgäste aus anderen Staaten,</w:t>
      </w:r>
    </w:p>
    <w:p>
      <w:r>
        <w:t xml:space="preserve">2. sonstige erheblich gefährdete Personen des öffentlichen Lebens aus anderen Staaten, die sich besuchsweise in Deutschland aufhalten, und</w:t>
      </w:r>
    </w:p>
    <w:p>
      <w:r>
        <w:t xml:space="preserve">3. Personen aus anderen Staaten, denen der Schutz der in Nrn. 1 und 2 genannten Personen obliegt,</w:t>
      </w:r>
    </w:p>
    <w:p>
      <w:r>
        <w:t xml:space="preserve">ist, soweit nicht das Bundesverwaltungsamt zuständig ist, das Landeskriminalamt zuständig.</w:t>
      </w:r>
    </w:p>
    <w:p>
      <w:r>
        <w:rPr>
          <w:color w:val="555555"/>
          <w:sz w:val="17"/>
        </w:rPr>
        <w:t xml:space="preserve">Zitiervorschlag: § 3 AVWaffBeschR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https://recht.nulegal.eu/gesetze/AVWaffBeschR/3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