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AVWaffBeschR (Bayern) — Prüfungsbehörden</w:t>
      </w:r>
    </w:p>
    <w:p>
      <w:r>
        <w:rPr>
          <w:color w:val="555555"/>
          <w:sz w:val="18"/>
        </w:rPr>
        <w:t xml:space="preserve">Verordnung zur Ausführung des Waffen- und Beschussrechts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Zuständige Behörde für die Mitwirkung bei der Einstufung von Gegenständen nach § 2 Abs. 5 Satz 3 WaffG ist das Landeskriminalamt.</w:t>
      </w:r>
    </w:p>
    <w:p>
      <w:r>
        <w:t xml:space="preserve">(2) Die Einrichtung der Prüfungsausschüsse für die Abnahme der Sachkundeprüfung nach § 7 Abs. 1 WaffG obliegt den Regierungen.</w:t>
      </w:r>
    </w:p>
    <w:p>
      <w:r>
        <w:t xml:space="preserve">(3) Die Prüfungsausschüsse für die Fachkundeprüfung nach § 22 Abs. 1 Satz 1 WaffG werden gebildet durch</w:t>
      </w:r>
    </w:p>
    <w:p>
      <w:r>
        <w:t xml:space="preserve">1. die Regierung von Oberbayern für die Regierungsbezirke Oberbayern, Niederbayern, Oberpfalz und Schwaben,</w:t>
      </w:r>
    </w:p>
    <w:p>
      <w:r>
        <w:t xml:space="preserve">2. die Regierung von Mittelfranken für die Regierungsbezirke Mittelfranken, Oberfranken und Unterfranken.</w:t>
      </w:r>
    </w:p>
    <w:p>
      <w:r>
        <w:t xml:space="preserve">(4) Die Geschäftsführung für die Abnahme der Fachkundeprüfung nach § 22 Abs. 1 Satz 1 WaffG obliegt der Industrie- und Handelskammer für München und Oberbayern für die in Abs. 3 Nr. 1 bezeichneten Regierungsbezirke und der Industrie- und Handelskammer Nürnberg für Mittelfranken für die in Abs. 3 Nr. 2 bezeichneten Regierungsbezirke.</w:t>
      </w:r>
    </w:p>
    <w:p>
      <w:r>
        <w:rPr>
          <w:color w:val="555555"/>
          <w:sz w:val="17"/>
        </w:rPr>
        <w:t xml:space="preserve">Zitiervorschlag: § 2 AVWaffBeschR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https://recht.nulegal.eu/gesetze/AVWaffBeschR/2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