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AVV — Anwendungsbereich</w:t>
      </w:r>
    </w:p>
    <w:p>
      <w:r>
        <w:rPr>
          <w:color w:val="555555"/>
          <w:sz w:val="18"/>
        </w:rPr>
        <w:t xml:space="preserve">Abfallverzeichnis-Verordnung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gilt für</w:t>
      </w:r>
    </w:p>
    <w:p>
      <w:pPr>
        <w:ind w:left="420"/>
      </w:pPr>
      <w:r>
        <w:t xml:space="preserve">1. die Bezeichnung von Abfällen,</w:t>
      </w:r>
    </w:p>
    <w:p>
      <w:pPr>
        <w:ind w:left="420"/>
      </w:pPr>
      <w:r>
        <w:t xml:space="preserve">2. die Einstufung von Abfällen nach ihrer Gefährlichkeit.</w:t>
      </w:r>
    </w:p>
    <w:p>
      <w:r>
        <w:rPr>
          <w:color w:val="555555"/>
          <w:sz w:val="17"/>
        </w:rPr>
        <w:t xml:space="preserve">Zitiervorschlag: § 1 AVV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