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AVSG (Bayern) — Mindestregelsätze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nach § 28 des Zwölften Buches Sozialgesetzbuch (SGB XII) ermittelten und die nach § 28a SGB XII fortgeschriebenen Regelbedarfsstufen gelten als Mindestregelsätze.</w:t>
      </w:r>
    </w:p>
    <w:p>
      <w:r>
        <w:t xml:space="preserve">(2) Die Träger der Sozialhilfe werden ermächtigt, durch Verordnung regionale Regelsätze festzusetzen, welche die Mindestregelsätze nicht unterschreiten dürfen. Wird von der Ermächtigung nach Satz 1 Gebrauch gemacht, ist es zulässig, Leistungsempfängern nach dem Vierten Kapitel SGB XII aufstockende Leistungen im Sinn des § 43 Abs. 2 SGB XII in Höhe der Differenz zwischen den bundeseinheitlichen Regelsätzen und den regionalen Regelsätzen zu gewähren.</w:t>
      </w:r>
    </w:p>
    <w:p>
      <w:r>
        <w:rPr>
          <w:color w:val="555555"/>
          <w:sz w:val="17"/>
        </w:rPr>
        <w:t xml:space="preserve">Zitiervorschlag: § 98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https://recht.nulegal.eu/gesetze/AVSG/98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