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AVSG (Bayern) — Voraussetzungen und Verfahren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84 Abs. 1 Nr. 2 gilt entsprechend. Sorgenetzwerke müssen ein Konzept zur Qualitätssicherung des Hilfsangebots und einen ausreichenden Versicherungsschutz aufweisen. Darüber hinaus müssen Sorgenetzwerke ein auf Dauer ausgerichtetes, regelmäßiges und verlässliches Hilfsangebot bieten.</w:t>
      </w:r>
    </w:p>
    <w:p>
      <w:r>
        <w:t xml:space="preserve">(2) Für die Förderung von Schulungen und Fortbildungen von ehrenamtlich Tätigen gilt § 84 Abs. 2 entsprechend.</w:t>
      </w:r>
    </w:p>
    <w:p>
      <w:r>
        <w:t xml:space="preserve">(3) § 84 Abs. 4 und § 85 gelten entsprechend.</w:t>
      </w:r>
    </w:p>
    <w:p>
      <w:r>
        <w:rPr>
          <w:color w:val="555555"/>
          <w:sz w:val="17"/>
        </w:rPr>
        <w:t xml:space="preserve">Zitiervorschlag: § 88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