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AVSG (Bayern) — Gegenstand der Förderung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Gefördert werden nach § 86:</w:t>
      </w:r>
    </w:p>
    <w:p>
      <w:r>
        <w:t xml:space="preserve">1. Sorgenetzwerke, die durch ehrenamtliches Engagement mit mindestens drei geschulten ehrenamtlichen Helfern und Helferinnen getragen und von einer geeigneten Fachkraft koordiniert werden,</w:t>
      </w:r>
    </w:p>
    <w:p>
      <w:r>
        <w:t xml:space="preserve">2. Schulungen und Fortbildungen von ehrenamtlich Tätigen sowie</w:t>
      </w:r>
    </w:p>
    <w:p>
      <w:r>
        <w:t xml:space="preserve">3. weitere Angebote zum Aus- und Aufbau von Gruppen ehrenamtlich tätiger sowie sonstiger zum bürgerschaftlichen Engagement bereiter Personen im Sinn des § 45c Abs. 1 Satz 1 Nr. 2 SGB XI.</w:t>
      </w:r>
    </w:p>
    <w:p>
      <w:r>
        <w:t xml:space="preserve">Einzelpersonen werden nicht gefördert. Dem Abschnitt 5 unterfallende Angebote zur Unterstützung im Alltag werden nicht nach § 86 gefördert.</w:t>
      </w:r>
    </w:p>
    <w:p>
      <w:r>
        <w:rPr>
          <w:color w:val="555555"/>
          <w:sz w:val="17"/>
        </w:rPr>
        <w:t xml:space="preserve">Zitiervorschlag: § 87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https://recht.nulegal.eu/gesetze/AVSG/87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