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AVSG (Bayern) — Förderfähige Aufwendungen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Förderfähig sind bei Pflegeeinrichtungen die in § 82 Abs. 2 Nr. 1 und 3 SGB XI genannten Aufwendungen mit Ausnahme der Aufwendungen für Instandsetzung und Instandhaltung sowie Ersatz-, Erweiterungs- und Ergänzungsbeschaffung der Inneneinrichtung. Außerdem können in den Bereichen Behindertenpflege und Pflege für psychisch Kranke in Ausnahmefällen auch die Aufwendungen für den Erwerb und die Erschließung von Grundstücken nach § 82 Abs. 2 Nr. 2 SGB XI gefördert werden.</w:t>
      </w:r>
    </w:p>
    <w:p>
      <w:r>
        <w:t xml:space="preserve">(2) Soweit die Förderung durch Festbeträge erfolgt, ist die Förderung für alle förderfähigen Aufwendungen in den Festbeträgen enthalten.</w:t>
      </w:r>
    </w:p>
    <w:p>
      <w:r>
        <w:t xml:space="preserve">(3) Bei Pflegediensten werden die in § 82 Abs. 2 Nr. 1 und 3 SGB XI genannten Aufwendungen gefördert.</w:t>
      </w:r>
    </w:p>
    <w:p>
      <w:r>
        <w:rPr>
          <w:color w:val="555555"/>
          <w:sz w:val="17"/>
        </w:rPr>
        <w:t xml:space="preserve">Zitiervorschlag: § 71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