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AVSG (Bayern) — Kosten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40f gilt mit der Maßgabe entsprechend, dass die Mindestgebühr nach § 40f Abs. 1 Satz 2 260 € beträgt.</w:t>
      </w:r>
    </w:p>
    <w:p>
      <w:r>
        <w:t xml:space="preserve">(2) Die nach Abzug der Einnahmen aus Gebühren und Auslagen verbleibenden Kosten der Schiedsstelle tragen zur einen Hälfte die in § 50 Abs. 1 Nr. 1 genannten Organisationen, zur anderen Hälfte die in § 50 Abs. 1 Nr. 2 genannten Organisationen. Die Organisationen vereinbaren jeweils die Verteilung der auf sie nach Satz 1 entfallenden Kosten. Kommt keine Einigung zustande, entscheidet das Staatsministerium für Gesundheit, Pflege und Prävention.</w:t>
      </w:r>
    </w:p>
    <w:p>
      <w:r>
        <w:rPr>
          <w:color w:val="555555"/>
          <w:sz w:val="17"/>
        </w:rPr>
        <w:t xml:space="preserve">Zitiervorschlag: § 58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