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AVSG (Bayern) — Vorbereitung und Leitung der Sitzung, Verhandlung und Erörterungstermin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Antrag auf Einleitung des Schiedsverfahrens gilt § 40a entsprechend.</w:t>
      </w:r>
    </w:p>
    <w:p>
      <w:r>
        <w:t xml:space="preserve">(2) § 40b Abs. 1 und 3 bis 5 gilt entsprechend. Die Ladungsfrist beträgt mindestens zwei Wochen. Die Ladung enthält Angaben zu Ort und Zeit, die Tagesordnung und die Unterlagen, die die Parteien eingereicht haben.</w:t>
      </w:r>
    </w:p>
    <w:p>
      <w:r>
        <w:t xml:space="preserve">(3) § 40c Abs. 1 Satz 1, 3, 6 und 7 gilt entsprechend. Das vorsitzende Mitglied kann anordnen, dass schriftlich verfahren wird, wenn</w:t>
      </w:r>
    </w:p>
    <w:p>
      <w:r>
        <w:t xml:space="preserve">1. alle Beteiligten ausdrücklich auf eine mündliche Verhandlung verzichten oder</w:t>
      </w:r>
    </w:p>
    <w:p>
      <w:r>
        <w:t xml:space="preserve">2. die Sache keine besonderen Schwierigkeiten tatsächlicher oder rechtlicher Art aufweist und der Sachverhalt geklärt ist.</w:t>
      </w:r>
    </w:p>
    <w:p>
      <w:r>
        <w:t xml:space="preserve">Im Fall des Satzes 2 Nr. 2 ist auf Antrag einer Partei mündlich zu verhandeln.</w:t>
      </w:r>
    </w:p>
    <w:p>
      <w:r>
        <w:t xml:space="preserve">(4) Das vorsitzende Mitglied kann die Verfahrensbeteiligten mit einer Ladungsfrist von mindestens vier Tagen zu einem nichtöffentlichen Erörterungstermin laden. § 40c Abs. 1 Satz 6 und 7 und § 58 gelten entsprechend.</w:t>
      </w:r>
    </w:p>
    <w:p>
      <w:r>
        <w:rPr>
          <w:color w:val="555555"/>
          <w:sz w:val="17"/>
        </w:rPr>
        <w:t xml:space="preserve">Zitiervorschlag: § 55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