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AVSG (Bayern) — Besetzung der Schiedsstelle</w:t>
      </w:r>
    </w:p>
    <w:p>
      <w:r>
        <w:rPr>
          <w:color w:val="555555"/>
          <w:sz w:val="18"/>
        </w:rPr>
        <w:t xml:space="preserve">Verordnung zur Ausführung der Sozialgesetze BayRS 86-8-A/G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Schiedsstelle ist besetzt mit</w:t>
      </w:r>
    </w:p>
    <w:p>
      <w:r>
        <w:t xml:space="preserve">1. dem unparteiischen vorsitzenden Mitglied und zwei weiteren unparteiischen Mitgliedern gemäß § 51 Abs. 1 Nr. 1,</w:t>
      </w:r>
    </w:p>
    <w:p>
      <w:r>
        <w:t xml:space="preserve">2. acht Mitgliedern aus dem Bereich der Pflegekassen gemäß § 51 Abs. 1 Nr. 2,</w:t>
      </w:r>
    </w:p>
    <w:p>
      <w:r>
        <w:t xml:space="preserve">3. acht Mitgliedern aus dem Bereich der Pflegeeinrichtungen gemäß § 51 Abs. 1 Nr. 3.</w:t>
      </w:r>
    </w:p>
    <w:p>
      <w:r>
        <w:rPr>
          <w:color w:val="555555"/>
          <w:sz w:val="17"/>
        </w:rPr>
        <w:t xml:space="preserve">Zitiervorschlag: § 52 AVSG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https://recht.nulegal.eu/gesetze/AVSG/52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