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AVSG (Bayern) — Bildung der Schiedsstelle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der Bildung der Schiedsstelle nach § 76 SGB XI für das Gebiet des Freistaates Bayern sind folgende Organisationen beteiligt:</w:t>
      </w:r>
    </w:p>
    <w:p>
      <w:r>
        <w:t xml:space="preserve">1. die Landesverbände der Pflegekassen, der Verband der Privaten Krankenversicherung e. V. und der Bayerische Bezirketag als Vereinigung der überörtlichen Träger der Sozialhilfe in Bayern,</w:t>
      </w:r>
    </w:p>
    <w:p>
      <w:r>
        <w:t xml:space="preserve">2. Auf Seiten der Vereinigungen der Träger der Pflegeeinrichtungen in Bayern:</w:t>
      </w:r>
    </w:p>
    <w:p>
      <w:r>
        <w:t xml:space="preserve">a) – Arbeiterwohlfahrt, Landesverband Bayern,</w:t>
      </w:r>
    </w:p>
    <w:p>
      <w:r>
        <w:t xml:space="preserve">– Bayerisches Rotes Kreuz,</w:t>
      </w:r>
    </w:p>
    <w:p>
      <w:r>
        <w:t xml:space="preserve">– Deutscher Caritasverband, Landesverband Bayern e.V.,</w:t>
      </w:r>
    </w:p>
    <w:p>
      <w:r>
        <w:t xml:space="preserve">– Deutscher Paritätischer Wohlfahrtsverband, Landesverband Bayern e.V.,</w:t>
      </w:r>
    </w:p>
    <w:p>
      <w:r>
        <w:t xml:space="preserve">– Diakonisches Werk, Landesverband der Inneren Mission e.V.,</w:t>
      </w:r>
    </w:p>
    <w:p>
      <w:r>
        <w:t xml:space="preserve">b) – Lebenshilfe für Menschen mit geistiger Behinderung, Landesverband Bayern e.V.,</w:t>
      </w:r>
    </w:p>
    <w:p>
      <w:r>
        <w:t xml:space="preserve">c) – Verbände der privaten Pflegedienste in Bayern,</w:t>
      </w:r>
    </w:p>
    <w:p>
      <w:r>
        <w:t xml:space="preserve">– Verbände der privaten Pflegeheime in Bayern</w:t>
      </w:r>
    </w:p>
    <w:p>
      <w:r>
        <w:t xml:space="preserve">als Vertreter der privaten Einrichtungsträger,</w:t>
      </w:r>
    </w:p>
    <w:p>
      <w:r>
        <w:t xml:space="preserve">d) die kommunalen Spitzenverbände und die Verbände der kommunalen Pflegeeinrichtungen in Bayern als Vertreter der kommunalen Einrichtungsträger.</w:t>
      </w:r>
    </w:p>
    <w:p>
      <w:r>
        <w:t xml:space="preserve">(2) Die Schiedsstelle gibt sich eine Geschäftsordnung, die der Zustimmung des Staatsministeriums für Gesundheit, Pflege und Prävention bedarf. Eine Geschäftsstelle für die Schiedsstelle wird beim Landesamt für Pflege eingerichtet.</w:t>
      </w:r>
    </w:p>
    <w:p>
      <w:r>
        <w:rPr>
          <w:color w:val="555555"/>
          <w:sz w:val="17"/>
        </w:rPr>
        <w:t xml:space="preserve">Zitiervorschlag: § 50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