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41g AVSG (Bayern) — Arbeitsgruppe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Bestimmung und stetige Weiterentwicklung des Instruments zur Bedarfsermittlung nach § 118 SGB IX wird eine Arbeitsgruppe gebildet. In diese Arbeitsgruppe werden folgende Mitglieder entsandt:</w:t>
      </w:r>
    </w:p>
    <w:p>
      <w:r>
        <w:t xml:space="preserve">1. das vorsitzende Mitglied vom Bayerischen Bezirketag,</w:t>
      </w:r>
    </w:p>
    <w:p>
      <w:r>
        <w:t xml:space="preserve">2. je eines von den Trägern der Eingliederungshilfe,</w:t>
      </w:r>
    </w:p>
    <w:p>
      <w:r>
        <w:t xml:space="preserve">3. acht von den Leistungserbringern; hierzu zählen die freigemeinnützigen, die privat-gewerblichen und die kommunalen Leistungserbringer,</w:t>
      </w:r>
    </w:p>
    <w:p>
      <w:r>
        <w:t xml:space="preserve">4. zwei von den Regierungen,</w:t>
      </w:r>
    </w:p>
    <w:p>
      <w:r>
        <w:t xml:space="preserve">5. eines von der Geschäftsstelle des Beauftragten für die Belange von Menschen mit Behinderung in Bayern,</w:t>
      </w:r>
    </w:p>
    <w:p>
      <w:r>
        <w:t xml:space="preserve">6. fünf von den Betroffenen- und Angehörigenverbänden der Menschen mit Behinderung in Bayern.</w:t>
      </w:r>
    </w:p>
    <w:p>
      <w:r>
        <w:t xml:space="preserve">Es wird entsprechend Satz 2 jeweils mindestens ein Stellvertreter bestimmt. Scheidet ein Mitglied oder Stellvertreter aus, ist unverzüglich ein Nachfolger zu entsenden. Die Mitglieder und Stellvertreter sind ehrenamtlich tätig.</w:t>
      </w:r>
    </w:p>
    <w:p>
      <w:r>
        <w:t xml:space="preserve">(2) Die Arbeitsgruppe kann Unterarbeitsgruppen bilden und in diese Vertreter weiterer Organisationen als Mitglied berufen. Weitere Organisationen sollen beteiligt werden, wenn ihre Mitwirkung auf Grund ihrer besonderen Sachkunde erforderlich ist.</w:t>
      </w:r>
    </w:p>
    <w:p>
      <w:r>
        <w:t xml:space="preserve">(3) Die Arbeitsgruppe gibt sich eine Geschäftsordnung.</w:t>
      </w:r>
    </w:p>
    <w:p>
      <w:r>
        <w:rPr>
          <w:color w:val="555555"/>
          <w:sz w:val="17"/>
        </w:rPr>
        <w:t xml:space="preserve">Zitiervorschlag: § 41g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https://recht.nulegal.eu/gesetze/AVSG/41g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