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41d AVSG (Bayern) — Abweichende Bestimmungen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35 Abs. 3 Satz 2 sind die beteiligten Organisationen die Mitgliedsverbände der in § 41b Abs. 1 genannten Gruppen und die Landesarbeitsgemeinschaft Selbsthilfe von Menschen mit Behinderungen und chronischer Erkrankung und ihrer Angehörigen in Bayern e. V. (LAGS).</w:t>
      </w:r>
    </w:p>
    <w:p>
      <w:r>
        <w:t xml:space="preserve">(2) Die Mindestgebühr nach § 40f Abs. 1 Satz 2 ermäßigt sich auf 200 €, wenn im Zeitpunkt der Antragsrücknahme das Ruhen des Verfahrens angeordnet war. Abweichend von § 40f Abs. 2 Satz 1 wird die Entschädigung nach § 40e Abs. 2 von der Partei getragen, die die Hinzuziehung beantragt hat.</w:t>
      </w:r>
    </w:p>
    <w:p>
      <w:r>
        <w:rPr>
          <w:color w:val="555555"/>
          <w:sz w:val="17"/>
        </w:rPr>
        <w:t xml:space="preserve">Zitiervorschlag: § 41d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https://recht.nulegal.eu/gesetze/AVSG/41d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