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41b AVSG (Bayern) — Bestellung der Mitglieder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Es werden bestellt:</w:t>
      </w:r>
    </w:p>
    <w:p>
      <w:r>
        <w:t xml:space="preserve">1. ein vorsitzendes Mitglied und</w:t>
      </w:r>
    </w:p>
    <w:p>
      <w:r>
        <w:t xml:space="preserve">2. weitere Mitglieder, von denen vorgeschlagen werden</w:t>
      </w:r>
    </w:p>
    <w:p>
      <w:r>
        <w:t xml:space="preserve">a) vier von dem Bayerischen Bezirketag – Gruppe der Träger der Eingliederungshilfe –,</w:t>
      </w:r>
    </w:p>
    <w:p>
      <w:r>
        <w:t xml:space="preserve">b) sieben von der Gruppe der freigemeinnützigen Leistungserbringer; hierzu gehören die Mitgliedsverbände der Freien Wohlfahrtspflege Bayern und der Lebenshilfe Landesverband Bayern,</w:t>
      </w:r>
    </w:p>
    <w:p>
      <w:r>
        <w:t xml:space="preserve">c) eines von der Gruppe der kommunalen Leistungserbringer; hierzu gehören die kommunalen Spitzenverbände in Bayern und</w:t>
      </w:r>
    </w:p>
    <w:p>
      <w:r>
        <w:t xml:space="preserve">d) zwei von der Gruppe der privat-gewerblichen Leistungserbringer; hierzu gehören der Bundesverband privater Anbieter sozialer Dienste e. V., Landesgruppe Bayern, und der Verband Deutscher Alten- und Behindertenhilfe e. V., Landesgruppe Bayern.</w:t>
      </w:r>
    </w:p>
    <w:p>
      <w:r>
        <w:t xml:space="preserve">(2) § 36 Abs. 2 Satz 1 Nr. 2 Halbsatz 2 und Abs. 3 Satz 2 Alternative 3 findet keine Anwendung.</w:t>
      </w:r>
    </w:p>
    <w:p>
      <w:r>
        <w:rPr>
          <w:color w:val="555555"/>
          <w:sz w:val="17"/>
        </w:rPr>
        <w:t xml:space="preserve">Zitiervorschlag: § 41b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https://recht.nulegal.eu/gesetze/AVSG/41b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