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AVSG (Bayern) — Abberufung und Amtsniederlegung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gemeinsamen Antrag der beteiligten Organisationen hat die Regierung von Niederbayern das vorsitzende Mitglied oder dessen Stellvertreter abzuberufen. Beantragt nur eine der beteiligten Organisationen die Abberufung und kommt eine Einigung nicht zustande, kann die Regierung von Niederbayern die Abberufung aus wichtigem Grund vornehmen.</w:t>
      </w:r>
    </w:p>
    <w:p>
      <w:r>
        <w:t xml:space="preserve">(2) Die in § 36 Abs. 1 genannten Gruppen können die jeweils von ihnen bestellten weiteren Mitglieder und deren Stellvertreter jederzeit durch schriftliche Erklärung gegenüber der Geschäftsstelle abberufen.</w:t>
      </w:r>
    </w:p>
    <w:p>
      <w:r>
        <w:t xml:space="preserve">(3) Die Mitglieder und Stellvertreter können ihr Amt jederzeit durch schriftliche Erklärung gegenüber der Geschäftsstelle niederlegen.</w:t>
      </w:r>
    </w:p>
    <w:p>
      <w:r>
        <w:t xml:space="preserve">(4) Die Abberufung nach Abs. 2 und die Amtsniederlegung nach Abs. 3 haben keine Auswirkung auf laufende Verfahren.</w:t>
      </w:r>
    </w:p>
    <w:p>
      <w:r>
        <w:rPr>
          <w:color w:val="555555"/>
          <w:sz w:val="17"/>
        </w:rPr>
        <w:t xml:space="preserve">Zitiervorschlag: § 38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