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AVSG (Bayern) — Amtsperiode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Amtsperiode der Schiedsstelle beträgt vier Jahre.</w:t>
      </w:r>
    </w:p>
    <w:p>
      <w:r>
        <w:t xml:space="preserve">(2) Scheidet ein Mitglied oder ein Stellvertreter vor Ablauf der Amtsperiode aus, ist ein Nachfolger für den Zeitraum bis zum Ablauf der Amtsperiode zu bestellen. § 36 Abs. 2 bis 4 gilt entsprechend.</w:t>
      </w:r>
    </w:p>
    <w:p>
      <w:r>
        <w:t xml:space="preserve">(3) § 13 Abs. 2 Satz 2 und Abs. 3 Satz 1 und 2 des Sozialgerichtsgesetzes (SGG) gilt für die Mitglieder der Schiedsstelle und deren Stellvertreter entsprechend.</w:t>
      </w:r>
    </w:p>
    <w:p>
      <w:r>
        <w:rPr>
          <w:color w:val="555555"/>
          <w:sz w:val="17"/>
        </w:rPr>
        <w:t xml:space="preserve">Zitiervorschlag: § 37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