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AVSG (Bayern) — Inkrafttreten, Außerkrafttreten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2009 in Kraft. Abweichend von Satz 1 treten</w:t>
      </w:r>
    </w:p>
    <w:p>
      <w:r>
        <w:t xml:space="preserve">1. Teil 1 am 31. Dezember 2008 und</w:t>
      </w:r>
    </w:p>
    <w:p>
      <w:r>
        <w:t xml:space="preserve">2. § 136 Abs. 1 am 2. Januar 2009 in Kraft.</w:t>
      </w:r>
    </w:p>
    <w:p>
      <w:r>
        <w:t xml:space="preserve">(2) Teil 8 Abschnitt 5 bis 8 tritt mit Ablauf des 31. Dezember 2029 außer Kraft.</w:t>
      </w:r>
    </w:p>
    <w:p>
      <w:r>
        <w:rPr>
          <w:color w:val="555555"/>
          <w:sz w:val="17"/>
        </w:rPr>
        <w:t xml:space="preserve">Zitiervorschlag: § 155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