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150 AVSG (Bayern) — Zuschussfähige Sachausgaben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Zuschussfähig sind die folgenden Sachausgaben für die Erledigung der Aufgaben der Betreuungsvereine gemäß § 15 Abs. 1 BtOG:</w:t>
      </w:r>
    </w:p>
    <w:p>
      <w:r>
        <w:t xml:space="preserve">1. Raumkosten;</w:t>
      </w:r>
    </w:p>
    <w:p>
      <w:r>
        <w:t xml:space="preserve">2. Beschaffung und Betrieb von Hard- und Software für die elektronische Datenverarbeitung, für zentrale Informations- und Kommunikationsdienste und für Büromaschinen;</w:t>
      </w:r>
    </w:p>
    <w:p>
      <w:r>
        <w:t xml:space="preserve">3. Büromaterial;</w:t>
      </w:r>
    </w:p>
    <w:p>
      <w:r>
        <w:t xml:space="preserve">4. Versicherungen;</w:t>
      </w:r>
    </w:p>
    <w:p>
      <w:r>
        <w:t xml:space="preserve">5. Anschluss- und Nutzungskosten für Telekommunikation und Internet sowie Porto;</w:t>
      </w:r>
    </w:p>
    <w:p>
      <w:r>
        <w:t xml:space="preserve">6. Reisekosten für Fachkräfte;</w:t>
      </w:r>
    </w:p>
    <w:p>
      <w:r>
        <w:t xml:space="preserve">7. Ausgaben für Öffentlichkeitsarbeit und für Veranstaltungen einschließlich der Raummiete und des Schulungsmaterials;</w:t>
      </w:r>
    </w:p>
    <w:p>
      <w:r>
        <w:t xml:space="preserve">8. Ausbildungs-, Fortbildungs- und Supervisionskosten einschließlich Fahrtkosten.</w:t>
      </w:r>
    </w:p>
    <w:p>
      <w:r>
        <w:rPr>
          <w:color w:val="555555"/>
          <w:sz w:val="17"/>
        </w:rPr>
        <w:t xml:space="preserve">Zitiervorschlag: § 150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https://recht.nulegal.eu/gesetze/AVSG/150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