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AVSG (Bayern) — Entschädigung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40e gilt entsprechend. Die in § 138 Abs. 1 Satz 1 Nr. 2 genannten Organisationen und das Staatsministerium für Gesundheit, Pflege und Prävention können für das vorsitzende Mitglied und dessen Stellvertreter von § 40e Abs. 1 Satz 2 bis 5 abweichende Fallpauschalen vereinbaren. Die übrigen Mitglieder der Schiedsstelle erhalten Entschädigungen, Reisekosten und Ersatz für sonstige Barauslagen von den Organisationen, die sie bestellt haben, nach deren Regelungen.</w:t>
      </w:r>
    </w:p>
    <w:p>
      <w:r>
        <w:rPr>
          <w:color w:val="555555"/>
          <w:sz w:val="17"/>
        </w:rPr>
        <w:t xml:space="preserve">Zitiervorschlag: § 145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