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141 AVSG (Bayern) — Amtsperiode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Amtsperiode der Schiedsstelle beträgt vier Jahre.</w:t>
      </w:r>
    </w:p>
    <w:p>
      <w:r>
        <w:t xml:space="preserve">(2) Scheidet ein Mitglied oder ein Stellvertreter vor Ablauf der Amtsperiode aus, gelten § 37 Abs. 2 Satz 1 und Abs. 3 und § 138 Abs. 2 und 3 entsprechend.</w:t>
      </w:r>
    </w:p>
    <w:p>
      <w:r>
        <w:rPr>
          <w:color w:val="555555"/>
          <w:sz w:val="17"/>
        </w:rPr>
        <w:t xml:space="preserve">Zitiervorschlag: § 141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https://recht.nulegal.eu/gesetze/AVSG/141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