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140 AVSG (Bayern) — Parteien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Parteien des Schiedsverfahrens sind</w:t>
      </w:r>
    </w:p>
    <w:p>
      <w:r>
        <w:t xml:space="preserve">1. in Schiedsverfahren nach § 30 Abs. 2 PflBG</w:t>
      </w:r>
    </w:p>
    <w:p>
      <w:r>
        <w:t xml:space="preserve">a) im Fall des § 139 Nr. 1 die Vertragsparteien nach § 30 Abs. 1 Satz 2 PflBG,</w:t>
      </w:r>
    </w:p>
    <w:p>
      <w:r>
        <w:t xml:space="preserve">b) im Fall des § 139 Nr. 2 die Vertragsparteien nach § 30 Abs. 1 Satz 1 PflBG,</w:t>
      </w:r>
    </w:p>
    <w:p>
      <w:r>
        <w:t xml:space="preserve">2. in Schiedsverfahren nach § 31 Abs. 3 PflBG die an der jeweiligen Budgetverhandlung nach § 31 Abs. 1 Satz 1 PflBG beteiligten Vertragsparteien,</w:t>
      </w:r>
    </w:p>
    <w:p>
      <w:r>
        <w:t xml:space="preserve">3. in Schiedsverfahren nach § 33 Abs. 6 Satz 3 PflBG die in § 30 Abs. 1 Satz 1 PflBG genannten Beteiligten.</w:t>
      </w:r>
    </w:p>
    <w:p>
      <w:r>
        <w:rPr>
          <w:color w:val="555555"/>
          <w:sz w:val="17"/>
        </w:rPr>
        <w:t xml:space="preserve">Zitiervorschlag: § 140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