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AVSG (Bayern) — Besetzung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Schiedsstelle ist besetzt mit den Mitgliedern nach § 138 Abs. 1 Satz 1 Nr. 1, 2 Buchst. a, b und f sowie den Mitgliedern</w:t>
      </w:r>
    </w:p>
    <w:p>
      <w:r>
        <w:t xml:space="preserve">1. nach § 138 Abs. 1 Satz 1 Nr. 2 Buchst. e bei Schiedsverfahren zu den Pauschalen der Pflegeschulen nach § 30 Abs. 1 Satz 2 PflBG oder den individuellen Ausbildungsbudgets der Pflegeschulen nach § 31 Abs. 1 Satz 1 und 2 PflBG,</w:t>
      </w:r>
    </w:p>
    <w:p>
      <w:r>
        <w:t xml:space="preserve">2. nach § 138 Abs. 1 Satz 1 Nr. 2 Buchst. c und d im Übrigen.</w:t>
      </w:r>
    </w:p>
    <w:p>
      <w:r>
        <w:rPr>
          <w:color w:val="555555"/>
          <w:sz w:val="17"/>
        </w:rPr>
        <w:t xml:space="preserve">Zitiervorschlag: § 139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