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AVSG (Bayern) — Schiedsstelle nach § 36 des Pflegeberufegesetzes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Beim Landesamt für Pflege besteht eine Schiedsstelle nach § 36 PflBG. Dort wird eine Geschäftsstelle für die Schiedsstelle eingerichtet.</w:t>
      </w:r>
    </w:p>
    <w:p>
      <w:r>
        <w:t xml:space="preserve">(2) Die Rechtsaufsicht über die Schiedsstelle führt das Landesamt für Pflege. Das Staatsministerium für Gesundheit, Pflege und Prävention ist obere Rechtsaufsichtsbehörde.</w:t>
      </w:r>
    </w:p>
    <w:p>
      <w:r>
        <w:t xml:space="preserve">(3) Die Schiedsstelle gibt sich eine Geschäftsordnung, die der Zustimmung des Staatsministeriums für Gesundheit, Pflege und Prävention bedarf.</w:t>
      </w:r>
    </w:p>
    <w:p>
      <w:r>
        <w:rPr>
          <w:color w:val="555555"/>
          <w:sz w:val="17"/>
        </w:rPr>
        <w:t xml:space="preserve">Zitiervorschlag: § 137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