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AVSG (Bayern) — Vollzugsbehörden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Vollzug der vertriebenenrechtlichen Regelungen des Bundesvertriebenengesetzes, die weiteren Aufgaben des Flüchtlingswesens, insbesondere die Förderung der Integration der Spätaussiedler und Spätaussiedlerinnen sowie der unter § 7 Abs. 2 und § 8 Abs. 2 BVFG fallenden Familienangehörigen ist die Regierung von Mittelfranken zuständig, soweit bundes- oder landesrechtlich keine abweichenden Zuständigkeiten bestehen.</w:t>
      </w:r>
    </w:p>
    <w:p>
      <w:r>
        <w:t xml:space="preserve">(2) Erstattungsbehörde für die Abrechnung des Leistungsaufwands der Krankenkassen aus dem Vollzug des § 11 BVFG ist das Zentrum Bayern Familie und Soziales.</w:t>
      </w:r>
    </w:p>
    <w:p>
      <w:r>
        <w:rPr>
          <w:color w:val="555555"/>
          <w:sz w:val="17"/>
        </w:rPr>
        <w:t xml:space="preserve">Zitiervorschlag: § 119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