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AVSG (Bayern) — Anerkennung von Geschädigtenverbänden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Geschädigtenverbände, die vor der Wahl der Beisitzer beim Beschwerdeausschuss gemäß § 310 Abs. 3 LAG zu hören sind, werden anerkannt:</w:t>
      </w:r>
    </w:p>
    <w:p>
      <w:r>
        <w:t xml:space="preserve">1. Für die Vertriebenen:</w:t>
      </w:r>
    </w:p>
    <w:p>
      <w:r>
        <w:t xml:space="preserve">der Bund der Vertriebenen, Landesverband Bayern e.V., unter Beteiligung der Landsmannschaften,</w:t>
      </w:r>
    </w:p>
    <w:p>
      <w:r>
        <w:t xml:space="preserve">2. für die Sachgeschädigten:</w:t>
      </w:r>
    </w:p>
    <w:p>
      <w:r>
        <w:t xml:space="preserve">der Landesverband bayerischer Haus- und Grundbesitzer e.V. mit den entsprechenden Unterorganisationen.</w:t>
      </w:r>
    </w:p>
    <w:p>
      <w:r>
        <w:rPr>
          <w:color w:val="555555"/>
          <w:sz w:val="17"/>
        </w:rPr>
        <w:t xml:space="preserve">Zitiervorschlag: § 117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