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104 AVSG (Bayern) — Insolvenzberatung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Insolvenzberatung im Sinne des Art. 113 AGSG ist nur sichergestellt, wenn bezogen auf jeweils 130 000 Einwohner im Versorgungsgebiet qualifiziertes Beratungspersonal im Sinne von Art. 112 Abs. 2 Satz 2 AGSG in der Summe einer Vollzeitstelle vorgehalten wird Die Insolvenzberatung kann in kommunaler Zusammenarbeit sichergestellt werden.</w:t>
      </w:r>
    </w:p>
    <w:p>
      <w:r>
        <w:t xml:space="preserve">(2) Die psychosoziale Beratung ist integrierter Bestandteil der Insolvenzberatung, um die Gefahr einer erneuten Überschuldung abzuwenden.</w:t>
      </w:r>
    </w:p>
    <w:p>
      <w:r>
        <w:t xml:space="preserve">(3) Die Beratungsstellen arbeiten für die zu beratende Person kostenfrei.</w:t>
      </w:r>
    </w:p>
    <w:p>
      <w:r>
        <w:rPr>
          <w:color w:val="555555"/>
          <w:sz w:val="17"/>
        </w:rPr>
        <w:t xml:space="preserve">Zitiervorschlag: § 104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https://recht.nulegal.eu/gesetze/AVSG/104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