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100 AVSG (Bayern) — Schiedsstelle nach § 81 SGB XII</w:t>
      </w:r>
    </w:p>
    <w:p>
      <w:r>
        <w:rPr>
          <w:color w:val="555555"/>
          <w:sz w:val="18"/>
        </w:rPr>
        <w:t xml:space="preserve">Verordnung zur Ausführung der Sozialgesetze BayRS 86-8-A/G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Es besteht eine Schiedsstelle nach § 81 SGB XII. Für sie gelten die §§ 41a bis 41d mit folgenden Maßgaben entsprechend:</w:t>
      </w:r>
    </w:p>
    <w:p>
      <w:r>
        <w:t xml:space="preserve">1. Die LAGS ist abweichend von § 41d Abs. 1 keine beteiligte Organisation.</w:t>
      </w:r>
    </w:p>
    <w:p>
      <w:r>
        <w:t xml:space="preserve">2. An die Stelle der Träger der Eingliederungshilfe treten die überörtlichen Träger der Sozialhilfe</w:t>
      </w:r>
    </w:p>
    <w:p>
      <w:r>
        <w:rPr>
          <w:color w:val="555555"/>
          <w:sz w:val="17"/>
        </w:rPr>
        <w:t xml:space="preserve">Zitiervorschlag: § 100 AVSG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https://recht.nulegal.eu/gesetze/AVSG/100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