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AVSG (Bayern) — Umverteilung der Erstattungsleistungen des Bundes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rechnerischen Mehrleistungen nach § 46 Abs. 8 Satz 1 des Zweiten Buches Sozialgesetzbuch (SGB II) werden gemäß Art. 3 Abs. 2 des Gesetzes zur Ausführung der Sozialgesetze (AGSG) umverteilt. Die Verteilungsmasse errechnet sich durch Multiplikation der innerhalb des Bezugsjahres mit dem Bund abgerechneten Leistungen nach § 22 Abs. 1 SGB II mit dem nach § 46 Abs. 10 Satz 1 Nr. 1 SGB II angepassten landesspezifischen Wert für das Bezugsjahr. Verteilungsmaßstab sind die Anteile an den gemäß § 46 Abs. 11 Satz 5 SGB II gemeldeten Leistungsausgaben für Leistungen nach § 28 SGB II sowie nach § 6b des Bundeskindergeldgesetzes im Bezugsjahr. Eine Umverteilung findet nicht statt, soweit die rechnerischen Mehrleistungen die für ganz Bayern gemeldeten Leistungsausgaben nach Satz 3 übersteigen.</w:t>
      </w:r>
    </w:p>
    <w:p>
      <w:r>
        <w:t xml:space="preserve">(2) Die Festsetzung der Zahlungsansprüche und Zahlungspflichten nach Art. 3 Abs. 2 Satz 2 AGSG erfolgt jeweils nach Inkrafttreten der Rechtsverordnung nach § 46 Abs. 10 Satz 1 SGB II im Jahr, das auf das Bezugsjahr folgt.</w:t>
      </w:r>
    </w:p>
    <w:p>
      <w:r>
        <w:rPr>
          <w:color w:val="555555"/>
          <w:sz w:val="17"/>
        </w:rPr>
        <w:t xml:space="preserve">Zitiervorschlag: § 1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