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AVPfleWoqG (Bayern) — Übergangsregelung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Personen, die am 31. Dezember 2020 die Voraussetzungen des § 12 Abs. 1 Nr. 1 in der am 31. Dezember 2020 geltenden Fassung erfüllt haben und als Leitung einer Einrichtung der Pflege und für ältere Menschen tätig waren, gelten die Voraussetzungen des § 17 Abs. 1 Nr. 1 als erfüllt.</w:t>
      </w:r>
    </w:p>
    <w:p>
      <w:r>
        <w:t xml:space="preserve">(2) Abweichend von § 10 Satz 1 gelten Personen, die vor dem 1. September 2011 die Erlaubnis zur Führung der Berufsbezeichnung als Gesundheits- und Krankenpflegerin oder Gesundheits- und Krankenpfleger, als Gesundheits- und Kinderkrankenpflegerin oder Gesundheits- und Kinderkrankenpfleger oder als Altenpflegerin oder Altenpfleger erhalten haben, als Fachkräfte. Die Voraussetzung des § 17 Abs. 1 Nr. 1 gilt als erfüllt.</w:t>
      </w:r>
    </w:p>
    <w:p>
      <w:r>
        <w:t xml:space="preserve">(3) Für Personen, die am 31. Dezember 2020 Leiter einer Weiterbildung zur Praxisanleitung gemäß § 90 in der am 31. Dezember 2020 geltenden Fassung waren oder als Leitung einer Weiterbildung zur Praxisanleitung an einer von der Deutschen Krankenhausgesellschaft anerkannten Weiterbildungsstätte tätig waren, gelten die Voraussetzungen des § 83 Abs. 1 als erfüllt.</w:t>
      </w:r>
    </w:p>
    <w:p>
      <w:r>
        <w:rPr>
          <w:color w:val="555555"/>
          <w:sz w:val="17"/>
        </w:rPr>
        <w:t xml:space="preserve">Zitiervorschlag: § 90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https://recht.nulegal.eu/gesetze/AVPfleWoqG/90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