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AVPfleWoqG (Bayern) — Inhalt und Umfang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Weiterbildung gliedert sich inhaltlich entsprechend Anlage 4.</w:t>
      </w:r>
    </w:p>
    <w:p>
      <w:r>
        <w:t xml:space="preserve">(2) Die Weiterbildung umfasst insgesamt 300 Stunden, davon</w:t>
      </w:r>
    </w:p>
    <w:p>
      <w:r>
        <w:t xml:space="preserve">1. 252 Stunden Unterricht,</w:t>
      </w:r>
    </w:p>
    <w:p>
      <w:r>
        <w:t xml:space="preserve">2. eine Hospitation im Umfang von 16 Stunden und</w:t>
      </w:r>
    </w:p>
    <w:p>
      <w:r>
        <w:t xml:space="preserve">3. 32 Stunden für die Durchführung eines Praxisprojekts mit Erstellung eines Projektberichts.</w:t>
      </w:r>
    </w:p>
    <w:p>
      <w:r>
        <w:rPr>
          <w:color w:val="555555"/>
          <w:sz w:val="17"/>
        </w:rPr>
        <w:t xml:space="preserve">Zitiervorschlag: § 84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