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AVPfleWoqG (Bayern) — Zugangsvoraussetzung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 der Weiterbildung kann teilnehmen, wer</w:t>
      </w:r>
    </w:p>
    <w:p>
      <w:r>
        <w:t xml:space="preserve">1. die Erlaubnis zum Führen einer Berufsbezeichnung nach den §§ 1, 58 oder 64 PflBG oder nach § 3 HebG inne hat und</w:t>
      </w:r>
    </w:p>
    <w:p>
      <w:r>
        <w:t xml:space="preserve">2. mindestens eine einjährige Tätigkeit in diesem Berufsfeld aufweist.</w:t>
      </w:r>
    </w:p>
    <w:p>
      <w:r>
        <w:t xml:space="preserve">Auf Antrag der Weiterbildungseinrichtung kann die zuständige Behörde Personen, die die Anforderungen nach Satz 1 nicht erfüllen, zur Weiterbildung zulassen, wenn für diese Personen vergleichbare Qualifikationen nachgewiesen werden können.</w:t>
      </w:r>
    </w:p>
    <w:p>
      <w:r>
        <w:rPr>
          <w:color w:val="555555"/>
          <w:sz w:val="17"/>
        </w:rPr>
        <w:t xml:space="preserve">Zitiervorschlag: § 82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https://recht.nulegal.eu/gesetze/AVPfleWoqG/82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