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AVPfleWoqG (Bayern) — Inhalt und Umfang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Weiterbildung gliedert sich inhaltlich entsprechend Anlage 1.</w:t>
      </w:r>
    </w:p>
    <w:p>
      <w:r>
        <w:t xml:space="preserve">(2) Die Weiterbildung zur Einrichtungsleitung umfasst eine Projektarbeit sowie insgesamt 952 Stunden, davon</w:t>
      </w:r>
    </w:p>
    <w:p>
      <w:r>
        <w:t xml:space="preserve">1. 912 Unterrichtsstunden und</w:t>
      </w:r>
    </w:p>
    <w:p>
      <w:r>
        <w:t xml:space="preserve">2. ein Praktikum im Umfang von 40 Praxisstunden.</w:t>
      </w:r>
    </w:p>
    <w:p>
      <w:r>
        <w:rPr>
          <w:color w:val="555555"/>
          <w:sz w:val="17"/>
        </w:rPr>
        <w:t xml:space="preserve">Zitiervorschlag: § 72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