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AVPfleWoqG (Bayern) — Bewertung der Prüfungsergebnisse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die Bewertung der Prüfungen sind ausschließlich die Noten der zweiten Spalte der folgenden Tabelle zu verwenden:</w:t>
      </w:r>
    </w:p>
    <w:p>
      <w:r>
        <w:t xml:space="preserve">Bewertung</w:t>
      </w:r>
    </w:p>
    <w:p>
      <w:r>
        <w:t xml:space="preserve">Noten</w:t>
      </w:r>
    </w:p>
    <w:p>
      <w:r>
        <w:t xml:space="preserve">Grundsatz</w:t>
      </w:r>
    </w:p>
    <w:p>
      <w:r>
        <w:t xml:space="preserve">sehr gut</w:t>
      </w:r>
    </w:p>
    <w:p>
      <w:r>
        <w:t xml:space="preserve">1,0</w:t>
      </w:r>
    </w:p>
    <w:p>
      <w:r>
        <w:t xml:space="preserve">wenn die Leistung den Anforderungen im besonderen Maß entspricht</w:t>
      </w:r>
    </w:p>
    <w:p>
      <w:r>
        <w:t xml:space="preserve">1,3</w:t>
      </w:r>
    </w:p>
    <w:p>
      <w:r>
        <w:t xml:space="preserve">gut</w:t>
      </w:r>
    </w:p>
    <w:p>
      <w:r>
        <w:t xml:space="preserve">1,7</w:t>
      </w:r>
    </w:p>
    <w:p>
      <w:r>
        <w:t xml:space="preserve">wenn die Leistung den Anforderungen voll entspricht</w:t>
      </w:r>
    </w:p>
    <w:p>
      <w:r>
        <w:t xml:space="preserve">2,0</w:t>
      </w:r>
    </w:p>
    <w:p>
      <w:r>
        <w:t xml:space="preserve">2,3</w:t>
      </w:r>
    </w:p>
    <w:p>
      <w:r>
        <w:t xml:space="preserve">befriedigend</w:t>
      </w:r>
    </w:p>
    <w:p>
      <w:r>
        <w:t xml:space="preserve">2,7</w:t>
      </w:r>
    </w:p>
    <w:p>
      <w:r>
        <w:t xml:space="preserve">wenn die Leistung den Anforderungen im Allgemeinen entspricht</w:t>
      </w:r>
    </w:p>
    <w:p>
      <w:r>
        <w:t xml:space="preserve">3,0</w:t>
      </w:r>
    </w:p>
    <w:p>
      <w:r>
        <w:t xml:space="preserve">3,3</w:t>
      </w:r>
    </w:p>
    <w:p>
      <w:r>
        <w:t xml:space="preserve">ausreichend</w:t>
      </w:r>
    </w:p>
    <w:p>
      <w:r>
        <w:t xml:space="preserve">3,7</w:t>
      </w:r>
    </w:p>
    <w:p>
      <w:r>
        <w:t xml:space="preserve">wenn die Leistung zwar Mängel aufweist, aber den Anforderungen im Ganzen noch entspricht</w:t>
      </w:r>
    </w:p>
    <w:p>
      <w:r>
        <w:t xml:space="preserve">4,0</w:t>
      </w:r>
    </w:p>
    <w:p>
      <w:r>
        <w:t xml:space="preserve">mangelhaft</w:t>
      </w:r>
    </w:p>
    <w:p>
      <w:r>
        <w:t xml:space="preserve">5,0</w:t>
      </w:r>
    </w:p>
    <w:p>
      <w:r>
        <w:t xml:space="preserve">wenn die Leistung den Anforderungen nicht entspricht</w:t>
      </w:r>
    </w:p>
    <w:p>
      <w:r>
        <w:t xml:space="preserve">(2) Soweit Gesamtnoten zu bilden sind, wird das arithmetische Mittel errechnet. Dabei erfolgt die Berechnung ohne Rundung auf zwei Nachkommastellen. Entstehende Bruchteilsergebnisse werden wie folgt gerundet:</w:t>
      </w:r>
    </w:p>
    <w:p>
      <w:r>
        <w:t xml:space="preserve">1.</w:t>
      </w:r>
    </w:p>
    <w:p>
      <w:r>
        <w:t xml:space="preserve">bis 1,15</w:t>
      </w:r>
    </w:p>
    <w:p>
      <w:r>
        <w:t xml:space="preserve">auf</w:t>
      </w:r>
    </w:p>
    <w:p>
      <w:r>
        <w:t xml:space="preserve">1,0,</w:t>
      </w:r>
    </w:p>
    <w:p>
      <w:r>
        <w:t xml:space="preserve">2.</w:t>
      </w:r>
    </w:p>
    <w:p>
      <w:r>
        <w:t xml:space="preserve">von</w:t>
      </w:r>
    </w:p>
    <w:p>
      <w:r>
        <w:t xml:space="preserve">1,16 bis 1,50</w:t>
      </w:r>
    </w:p>
    <w:p>
      <w:r>
        <w:t xml:space="preserve">auf</w:t>
      </w:r>
    </w:p>
    <w:p>
      <w:r>
        <w:t xml:space="preserve">1,3,</w:t>
      </w:r>
    </w:p>
    <w:p>
      <w:r>
        <w:t xml:space="preserve">3.</w:t>
      </w:r>
    </w:p>
    <w:p>
      <w:r>
        <w:t xml:space="preserve">von</w:t>
      </w:r>
    </w:p>
    <w:p>
      <w:r>
        <w:t xml:space="preserve">1,51 bis 1,85</w:t>
      </w:r>
    </w:p>
    <w:p>
      <w:r>
        <w:t xml:space="preserve">auf</w:t>
      </w:r>
    </w:p>
    <w:p>
      <w:r>
        <w:t xml:space="preserve">1,7,</w:t>
      </w:r>
    </w:p>
    <w:p>
      <w:r>
        <w:t xml:space="preserve">4.</w:t>
      </w:r>
    </w:p>
    <w:p>
      <w:r>
        <w:t xml:space="preserve">von</w:t>
      </w:r>
    </w:p>
    <w:p>
      <w:r>
        <w:t xml:space="preserve">1,86 bis 2,15</w:t>
      </w:r>
    </w:p>
    <w:p>
      <w:r>
        <w:t xml:space="preserve">auf</w:t>
      </w:r>
    </w:p>
    <w:p>
      <w:r>
        <w:t xml:space="preserve">2,0,</w:t>
      </w:r>
    </w:p>
    <w:p>
      <w:r>
        <w:t xml:space="preserve">5.</w:t>
      </w:r>
    </w:p>
    <w:p>
      <w:r>
        <w:t xml:space="preserve">von</w:t>
      </w:r>
    </w:p>
    <w:p>
      <w:r>
        <w:t xml:space="preserve">2,16 bis 2,50</w:t>
      </w:r>
    </w:p>
    <w:p>
      <w:r>
        <w:t xml:space="preserve">auf</w:t>
      </w:r>
    </w:p>
    <w:p>
      <w:r>
        <w:t xml:space="preserve">2,3,</w:t>
      </w:r>
    </w:p>
    <w:p>
      <w:r>
        <w:t xml:space="preserve">6.</w:t>
      </w:r>
    </w:p>
    <w:p>
      <w:r>
        <w:t xml:space="preserve">von</w:t>
      </w:r>
    </w:p>
    <w:p>
      <w:r>
        <w:t xml:space="preserve">2,51 bis 2,85</w:t>
      </w:r>
    </w:p>
    <w:p>
      <w:r>
        <w:t xml:space="preserve">auf</w:t>
      </w:r>
    </w:p>
    <w:p>
      <w:r>
        <w:t xml:space="preserve">2,7,</w:t>
      </w:r>
    </w:p>
    <w:p>
      <w:r>
        <w:t xml:space="preserve">7.</w:t>
      </w:r>
    </w:p>
    <w:p>
      <w:r>
        <w:t xml:space="preserve">von</w:t>
      </w:r>
    </w:p>
    <w:p>
      <w:r>
        <w:t xml:space="preserve">2,86 bis 3,15</w:t>
      </w:r>
    </w:p>
    <w:p>
      <w:r>
        <w:t xml:space="preserve">auf</w:t>
      </w:r>
    </w:p>
    <w:p>
      <w:r>
        <w:t xml:space="preserve">3,0,</w:t>
      </w:r>
    </w:p>
    <w:p>
      <w:r>
        <w:t xml:space="preserve">8.</w:t>
      </w:r>
    </w:p>
    <w:p>
      <w:r>
        <w:t xml:space="preserve">von</w:t>
      </w:r>
    </w:p>
    <w:p>
      <w:r>
        <w:t xml:space="preserve">3,16 bis 3,50</w:t>
      </w:r>
    </w:p>
    <w:p>
      <w:r>
        <w:t xml:space="preserve">auf</w:t>
      </w:r>
    </w:p>
    <w:p>
      <w:r>
        <w:t xml:space="preserve">3,3,</w:t>
      </w:r>
    </w:p>
    <w:p>
      <w:r>
        <w:t xml:space="preserve">9.</w:t>
      </w:r>
    </w:p>
    <w:p>
      <w:r>
        <w:t xml:space="preserve">von</w:t>
      </w:r>
    </w:p>
    <w:p>
      <w:r>
        <w:t xml:space="preserve">3,51 bis 3,85</w:t>
      </w:r>
    </w:p>
    <w:p>
      <w:r>
        <w:t xml:space="preserve">auf</w:t>
      </w:r>
    </w:p>
    <w:p>
      <w:r>
        <w:t xml:space="preserve">3,7,</w:t>
      </w:r>
    </w:p>
    <w:p>
      <w:r>
        <w:t xml:space="preserve">10.</w:t>
      </w:r>
    </w:p>
    <w:p>
      <w:r>
        <w:t xml:space="preserve">von</w:t>
      </w:r>
    </w:p>
    <w:p>
      <w:r>
        <w:t xml:space="preserve">3,86 bis 4,0</w:t>
      </w:r>
    </w:p>
    <w:p>
      <w:r>
        <w:t xml:space="preserve">auf</w:t>
      </w:r>
    </w:p>
    <w:p>
      <w:r>
        <w:t xml:space="preserve">4,0 und</w:t>
      </w:r>
    </w:p>
    <w:p>
      <w:r>
        <w:t xml:space="preserve">11.</w:t>
      </w:r>
    </w:p>
    <w:p>
      <w:r>
        <w:t xml:space="preserve">von</w:t>
      </w:r>
    </w:p>
    <w:p>
      <w:r>
        <w:t xml:space="preserve">über 4,0</w:t>
      </w:r>
    </w:p>
    <w:p>
      <w:r>
        <w:t xml:space="preserve">auf</w:t>
      </w:r>
    </w:p>
    <w:p>
      <w:r>
        <w:t xml:space="preserve">5,0.</w:t>
      </w:r>
    </w:p>
    <w:p>
      <w:r>
        <w:rPr>
          <w:color w:val="555555"/>
          <w:sz w:val="17"/>
        </w:rPr>
        <w:t xml:space="preserve">Zitiervorschlag: § 63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https://recht.nulegal.eu/gesetze/AVPfleWoqG/63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