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AVPfleWoqG (Bayern) — Mitwirkung und Mitbestimmung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§§ 20 bis 40 gelten für die Bewohnervertretung in besonderen Wohnformen der Eingliederungshilfe entsprechend mit der Maßgabe, dass</w:t>
      </w:r>
    </w:p>
    <w:p>
      <w:r>
        <w:t xml:space="preserve">1. in besonderen Wohnformen der Eingliederungshilfe zusätzlich ein Beirat aus gesetzlichen Vertretern gebildet werden kann, der die Leitung und die Bewohnervertretung bei ihrer Arbeit berät und durch Vorschläge und Stellungnahmen unterstützt,</w:t>
      </w:r>
    </w:p>
    <w:p>
      <w:r>
        <w:t xml:space="preserve">2. bei der Mitgliederzahl gemäß § 24 die Bewohnerschaft die Mehrheit der Mitglieder der Bewohnervertretung stellt und</w:t>
      </w:r>
    </w:p>
    <w:p>
      <w:r>
        <w:t xml:space="preserve">3. die Amtszeit gemäß § 30 Abs. 1 Satz 1 vier Jahre beträgt.</w:t>
      </w:r>
    </w:p>
    <w:p>
      <w:r>
        <w:rPr>
          <w:color w:val="555555"/>
          <w:sz w:val="17"/>
        </w:rPr>
        <w:t xml:space="preserve">Zitiervorschlag: § 46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https://recht.nulegal.eu/gesetze/AVPfleWoqG/46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