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AVPfleWoqG (Bayern) — Berücksichtigung der Bedarfe von Menschen mit Behinderung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Anwendung der baulichen und personellen Mindestanforderungen sind die</w:t>
      </w:r>
    </w:p>
    <w:p>
      <w:r>
        <w:t xml:space="preserve">1. Aufgaben bei der personenzentrierten und sozialraumorientierten Betreuung, Förderung und Teilhabe von Menschen mit Behinderung,</w:t>
      </w:r>
    </w:p>
    <w:p>
      <w:r>
        <w:t xml:space="preserve">2. besondere Bedürfnisse der Bewohnerinnen und Bewohner, die sich insbesondere aus Art und Schwere der Beeinträchtigung ergeben, sowie</w:t>
      </w:r>
    </w:p>
    <w:p>
      <w:r>
        <w:t xml:space="preserve">3. fachliche Konzeption der Wohnform</w:t>
      </w:r>
    </w:p>
    <w:p>
      <w:r>
        <w:t xml:space="preserve">zu berücksichtigen. Es sind die nach den Lebensbereichen der Internationalen Klassifikation der Funktionsfähigkeit, Behinderung und Gesundheit im Sinn des § 118 Abs. 1 des Neunten Buches Sozialgesetzbuch (SGB IX) ermittelten Bedarfe der Bewohnerinnen und Bewohner zu achten.</w:t>
      </w:r>
    </w:p>
    <w:p>
      <w:r>
        <w:rPr>
          <w:color w:val="555555"/>
          <w:sz w:val="17"/>
        </w:rPr>
        <w:t xml:space="preserve">Zitiervorschlag: § 41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