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AVPfleWoqG (Bayern) — Amtszeit und Neuwahl</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Amtszeit beträgt zwei Jahre. Sie beginnt mit dem Tag der Wahl oder, wenn zu diesem Zeitpunkt noch eine Bewohnervertretung besteht, mit dem Ablauf von deren Amtszeit.</w:t>
      </w:r>
    </w:p>
    <w:p>
      <w:r>
        <w:t xml:space="preserve">(2) Die Bewohnervertretung ist neu zu wählen, wenn die Anzahl ihrer Mitglieder um mehr als die Hälfte der ursprünglichen Zahl gesunken ist oder die Bewohnervertretung mit Mehrheit der Mitglieder ihren Rücktritt beschlossen hat.</w:t>
      </w:r>
    </w:p>
    <w:p>
      <w:r>
        <w:rPr>
          <w:color w:val="555555"/>
          <w:sz w:val="17"/>
        </w:rPr>
        <w:t xml:space="preserve">Zitiervorschlag: § 30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