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AVPfleWoqG (Bayern) — Fachliche Konzeption</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Zweck der Einrichtung oder Wohnform und der voraussehbare pflegerische und betreuerische Bedarf sowie die Bedürfnisse der Bewohnerinnen und Bewohner sowie Mieterinnen und Mieter sind bei der Anwendung der baulichen und personellen Mindestanforderungen zu berücksichtigen und einzuplanen.</w:t>
      </w:r>
    </w:p>
    <w:p>
      <w:r>
        <w:t xml:space="preserve">(2) Bei der baulichen und personellen Gestaltung ist der fachlichen Konzeption der Einrichtungs- oder Wohnform Rechnung zu tragen.</w:t>
      </w:r>
    </w:p>
    <w:p>
      <w:r>
        <w:rPr>
          <w:color w:val="555555"/>
          <w:sz w:val="17"/>
        </w:rPr>
        <w:t xml:space="preserve">Zitiervorschlag: § 3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