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AVOLPachtVG (Brandenburg)</w:t>
      </w:r>
    </w:p>
    <w:p>
      <w:r>
        <w:rPr>
          <w:color w:val="555555"/>
          <w:sz w:val="18"/>
        </w:rPr>
        <w:t xml:space="preserve">Verordnung zur Ausführung des Landpachtverkehrsgesetzes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der Anzeigepflicht nach § 2 Abs. 1 des</w:t>
      </w:r>
    </w:p>
    <w:p>
      <w:r>
        <w:t xml:space="preserve">Landpachtverkehrsgesetzes sind Landpachtverträge über</w:t>
      </w:r>
    </w:p>
    <w:p>
      <w:r>
        <w:t xml:space="preserve">landwirtschaftliche Grundstücke ausgenommen, die kleiner als ein Hektar</w:t>
      </w:r>
    </w:p>
    <w:p>
      <w:r>
        <w:t xml:space="preserve">sind.</w:t>
      </w:r>
    </w:p>
    <w:p>
      <w:r>
        <w:rPr>
          <w:color w:val="555555"/>
          <w:sz w:val="17"/>
        </w:rPr>
        <w:t xml:space="preserve">Zitiervorschlag: § 1 AVOLPachtVG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https://recht.nulegal.eu/gesetze/AVOLPachtVG/1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