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AVKirchStG (Bayern) — Kircheneinkommensteuer im Jahr des Eintritts oder Austritts (Zu Art. 6 KirchStG)</w:t>
      </w:r>
    </w:p>
    <w:p>
      <w:r>
        <w:rPr>
          <w:color w:val="555555"/>
          <w:sz w:val="18"/>
        </w:rPr>
        <w:t xml:space="preserve">Verordnung zur Ausführung des Kirchensteuergesetzes BayRS 2220-4-1-F/K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Wenn während eines Kalenderjahres eine Person in eine umlageerhebende Gemeinschaft eintritt oder aus einer solchen Gemeinschaft austritt, wird die Kircheneinkommensteuer aus der nach Art. 8 Abs. 2 des Kirchensteuergesetzes (KirchStG) ermittelten Maßstabsteuer für das volle Kalenderjahr berechnet, aber nur mit je einem Zwölftel für jeden Kalendermonat erhoben, in dem die Umlagepflicht bestanden hat.</w:t>
      </w:r>
    </w:p>
    <w:p>
      <w:r>
        <w:rPr>
          <w:color w:val="555555"/>
          <w:sz w:val="17"/>
        </w:rPr>
        <w:t xml:space="preserve">Zitiervorschlag: § 5 AVKirchStG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https://recht.nulegal.eu/gesetze/AVKirchStG/5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