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AVKirchStG (Bayern) — Inkrafttreten, Außerkrafttreten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Januar 1966 in Kraft.</w:t>
      </w:r>
    </w:p>
    <w:p>
      <w:r>
        <w:t xml:space="preserve">(2) § 1 Abs. 4 Nr. 1 tritt mit Ablauf des 31. Dezember 2027 außer Kraft.</w:t>
      </w:r>
    </w:p>
    <w:p>
      <w:r>
        <w:t xml:space="preserve">[Amtl. Anm.:] Betrifft die ursprüngliche Fassung vom 15. März 1967 (GVBl. S. 320).</w:t>
      </w:r>
    </w:p>
    <w:p>
      <w:r>
        <w:rPr>
          <w:color w:val="555555"/>
          <w:sz w:val="17"/>
        </w:rPr>
        <w:t xml:space="preserve">Zitiervorschlag: § 21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