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AVKirchStG (Bayern) — Erhebung der Umlage im Abzugsverfahren (Zu Art. 15 KirchStG)</w:t>
      </w:r>
    </w:p>
    <w:p>
      <w:r>
        <w:rPr>
          <w:color w:val="555555"/>
          <w:sz w:val="18"/>
        </w:rPr>
        <w:t xml:space="preserve">Verordnung zur Ausführung des Kirchensteuergesetzes BayRS 2220-4-1-F/K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Kirchenlohnsteuer wird in Bayern im Weg des Abzugs vom Arbeitslohn erhoben für folgende umlageberechtigte Gemeinschaften:</w:t>
      </w:r>
    </w:p>
    <w:p>
      <w:r>
        <w:t xml:space="preserve">die (Erz-) Diözesen der Römisch-Katholischen Kirche in Bayern,</w:t>
      </w:r>
    </w:p>
    <w:p>
      <w:r>
        <w:t xml:space="preserve">die Evangelisch-Lutherische und Evangelisch-Reformierte Kirche in Bayern,</w:t>
      </w:r>
    </w:p>
    <w:p>
      <w:r>
        <w:t xml:space="preserve">die Alt-Katholische Kirche in Bayern,</w:t>
      </w:r>
    </w:p>
    <w:p>
      <w:r>
        <w:t xml:space="preserve">den Landesverband der Israelitischen Kultusgemeinden in Bayern.</w:t>
      </w:r>
    </w:p>
    <w:p>
      <w:r>
        <w:t xml:space="preserve">(2) Die Kirchenkapitalertragsteuer wird in Bayern für die in Abs. 1 genannten umlageberechtigten Gemeinschaften erhoben. Ansonsten wird sie für die in einem anderen Land kirchensteuerberechtigte Gemeinschaft erhoben.</w:t>
      </w:r>
    </w:p>
    <w:p>
      <w:r>
        <w:rPr>
          <w:color w:val="555555"/>
          <w:sz w:val="17"/>
        </w:rPr>
        <w:t xml:space="preserve">Zitiervorschlag: § 16 AVKirchStG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https://recht.nulegal.eu/gesetze/AVKirchStG/16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