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AVKirchStG (Bayern) — Vorauszahlung der Kircheneinkommensteuer (Zu Art. 12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Fälligkeitstage für die Entrichtung der Vorauszahlungen sind jeweils der 10. März, 10. Juni, 10. September und 10. Dezember eines Kalenderjahres.</w:t>
      </w:r>
    </w:p>
    <w:p>
      <w:r>
        <w:t xml:space="preserve">(2) Gehören nicht dauernd getrennt lebende Ehegatten verschiedenen umlageerhebenden Gemeinschaften an, so werden die Vorauszahlungen für jeden Ehegatten nach Maßgabe der nach Art. 8 Abs. 2 KirchStG ermittelten, zuletzt veranlagten Einkommensteuer oder der voraussichtlichen Jahreseinkommensteuer unter Berücksichtigung der voraussichtlichen Einkünfte und der zu erwartenden Kirchenlohnsteuerabzugsbeträge des betroffenen Ehegatten anteilig festgesetzt.</w:t>
      </w:r>
    </w:p>
    <w:p>
      <w:r>
        <w:t xml:space="preserve">(3) Vorauszahlungen auf die Kircheneinkommensteuer werden nur festgesetzt, wenn sie vierteljährlich mindestens zwanzig Euro betragen.</w:t>
      </w:r>
    </w:p>
    <w:p>
      <w:r>
        <w:rPr>
          <w:color w:val="555555"/>
          <w:sz w:val="17"/>
        </w:rPr>
        <w:t xml:space="preserve">Zitiervorschlag: § 13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