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AVILSG (Bayern)</w:t>
      </w:r>
    </w:p>
    <w:p>
      <w:r>
        <w:rPr>
          <w:color w:val="555555"/>
          <w:sz w:val="18"/>
        </w:rPr>
        <w:t xml:space="preserve">Verordnung zur Ausführung des Integrierte Leitstellen-Gesetzes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13. März 2026</w:t>
      </w:r>
    </w:p>
    <w:p>
      <w:r>
        <w:t xml:space="preserve">Bayerisches Staatsministerium des Innern, für Sport und Integration</w:t>
      </w:r>
    </w:p>
    <w:p>
      <w:r>
        <w:t xml:space="preserve">Joachim Herrmann, Staatsminister</w:t>
      </w:r>
    </w:p>
    <w:p>
      <w:r>
        <w:rPr>
          <w:color w:val="555555"/>
          <w:sz w:val="17"/>
        </w:rPr>
        <w:t xml:space="preserve">Zitiervorschlag: Schlussformel AVILSG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https://recht.nulegal.eu/gesetze/AVILSG/schlussformel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