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AVILSG (Bayern)</w:t>
      </w:r>
    </w:p>
    <w:p>
      <w:r>
        <w:rPr>
          <w:color w:val="555555"/>
          <w:sz w:val="18"/>
        </w:rPr>
        <w:t xml:space="preserve">Verordnung zur Ausführung des Integrierte Leitstellen-Gesetzes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10 Abs. 1 Nr. 2, 6 und 10 des Integrierte Leitstellen-Gesetzes (ILSG) vom 25. Juli 2002 (GVBl. S. 318, BayRS 215-6-1-I), das zuletzt durch die §§ 1 und 2 des Gesetzes vom 23. Dezember 2024 (GVBl. S. 636) geändert worden ist, verordnet das Bayerische Staatsministerium des Innern, für Sport und Integration:</w:t>
      </w:r>
    </w:p>
    <w:p>
      <w:r>
        <w:rPr>
          <w:color w:val="555555"/>
          <w:sz w:val="17"/>
        </w:rPr>
        <w:t xml:space="preserve">Zitiervorschlag: Eingangsformel AVILSG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https://recht.nulegal.eu/gesetze/AVILSG/eingangsformel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