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AVILSG (Bayern) — Inkrafttreten, Außerkrafttreten</w:t>
      </w:r>
    </w:p>
    <w:p>
      <w:r>
        <w:rPr>
          <w:color w:val="555555"/>
          <w:sz w:val="18"/>
        </w:rPr>
        <w:t xml:space="preserve">Verordnung zur Ausführung des Integrierte Leitstellen-Gesetzes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15. April 2026 in Kraft.</w:t>
      </w:r>
    </w:p>
    <w:p>
      <w:r>
        <w:t xml:space="preserve">(2) § 22 tritt mit Ablauf des 31. Dezember 2027 außer Kraft.</w:t>
      </w:r>
    </w:p>
    <w:p>
      <w:r>
        <w:t xml:space="preserve">(3) Die Verordnung über die Alarmierung der Feuerwehren im Landkreis München (MüFwAlV) vom 30. Mai 2014 (GVBl. S. 221, BayRS 215-6-1-1-I), die durch § 1 Abs. 170 der Verordnung vom 26. März 2019 (GVBl. S. 98) geändert worden ist, tritt mit Ablauf des 14. April 2026 außer Kraft.</w:t>
      </w:r>
    </w:p>
    <w:p>
      <w:r>
        <w:rPr>
          <w:color w:val="555555"/>
          <w:sz w:val="17"/>
        </w:rPr>
        <w:t xml:space="preserve">Zitiervorschlag: § 24 AVILSG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https://recht.nulegal.eu/gesetze/AVILSG/24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