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AVEn (Bayern) — Zuständigkeiten</w:t>
      </w:r>
    </w:p>
    <w:p>
      <w:r>
        <w:rPr>
          <w:color w:val="555555"/>
          <w:sz w:val="18"/>
        </w:rPr>
        <w:t xml:space="preserve">Verordnung zur Ausführung energiewirtschaftlicher Vorschriften</w:t>
      </w:r>
    </w:p>
    <w:p>
      <w:r>
        <w:rPr>
          <w:color w:val="555555"/>
          <w:sz w:val="18"/>
        </w:rPr>
        <w:t xml:space="preserve">Landesrecht Bayern</w:t>
      </w:r>
    </w:p>
    <w:p>
      <w:r>
        <w:rPr>
          <w:color w:val="555555"/>
          <w:sz w:val="18"/>
        </w:rPr>
        <w:t xml:space="preserve">Stand: 25.08.2026 (konsolidierte Textfassung, kein amtliches Inkrafttretensdatum)</w:t>
      </w:r>
    </w:p>
    <w:p>
      <w:r>
        <w:t xml:space="preserve">(1) Planungsverantwortliche Stellen im Sinne des Wärmeplanungsgesetzes (WPG) sind die Gemeinden. Sie sind verpflichtet, für ihr jeweiliges Gemeindegebiet allein oder gemeinsam mit anderen Gemeinden Wärmepläne nach Maßgabe des Wärmeplanungsgesetzes unter Einhaltung der in § 4 Abs. 2 WPG genannten Zeitpunkte zu erstellen, soweit die Pflicht zur Wärmeplanung nicht gemäß § 5 Abs. 2 WPG entfällt. Die Gemeinden nehmen die Pflichten und Aufgaben in eigener Verantwortung wahr, soweit Bundes- oder Landesrecht nicht entgegensteht.</w:t>
      </w:r>
    </w:p>
    <w:p>
      <w:r>
        <w:t xml:space="preserve">(2) Die Entscheidung nach § 26 Abs. 1 WPG trifft die örtlich zuständige planungsverantwortlichen Stelle.</w:t>
      </w:r>
    </w:p>
    <w:p>
      <w:r>
        <w:t xml:space="preserve">(3) Im Übrigen ist das Landesamt für Maß und Gewicht für den Vollzug des Wärmeplanungsgesetzes zuständig.</w:t>
      </w:r>
    </w:p>
    <w:p>
      <w:r>
        <w:rPr>
          <w:color w:val="555555"/>
          <w:sz w:val="17"/>
        </w:rPr>
        <w:t xml:space="preserve">Zitiervorschlag: § 8 AVEn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https://recht.nulegal.eu/gesetze/AVEn/8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