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AVEn (Bayern) — Befreiungen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Vorliegen der Voraussetzungen für eine Befreiung nach § 102 Abs. 1 Satz 1 Nr. 1 oder Nr. 2 Alternative 1 GEG muss von einem Sachverständigen im Sinn des § 3 Abs. 1 bescheinigt werden. Entscheidet die zuständige Behörde nicht innerhalb der Frist nach Art. 42a Abs. 2 des Bayerischen Verwaltungsverfahrensgesetzes, gilt die Erlaubnis als erteilt.</w:t>
      </w:r>
    </w:p>
    <w:p>
      <w:r>
        <w:t xml:space="preserve">(2) Ist eine bauaufsichtliche Genehmigung erforderlich, so sind die Anforderungen des § 102 Abs. 1 Satz 1 Nr. 2 Alternative 2 GEG in dem bauaufsichtlichen Genehmigungsverfahren zu prüfen. Die Befreiung wegen besonderer Umstände, die nach Satz 1 zu einer unbilligen Härte führen, wird durch die bauaufsichtliche Genehmigung ersetzt. Die Sätze 1 und 2 gelten für Befreiungen nach § 102 Abs. 5 GEG entsprechend.</w:t>
      </w:r>
    </w:p>
    <w:p>
      <w:r>
        <w:t xml:space="preserve">(3) Die Abs. 1 und 2 finden in den Fällen des Art. 73 Abs. 1 Satz 1 und Abs. 5 Satz 1 BayBO sowie bei verfahrensfreien Vorhaben nach Art. 57 Abs. 1 Nr. 17 BayBO keine Anwendung.</w:t>
      </w:r>
    </w:p>
    <w:p>
      <w:r>
        <w:rPr>
          <w:color w:val="555555"/>
          <w:sz w:val="17"/>
        </w:rPr>
        <w:t xml:space="preserve">Zitiervorschlag: § 7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